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97"/>
        <w:gridCol w:w="498"/>
        <w:gridCol w:w="498"/>
        <w:gridCol w:w="498"/>
        <w:gridCol w:w="599"/>
        <w:gridCol w:w="567"/>
        <w:gridCol w:w="709"/>
        <w:gridCol w:w="708"/>
        <w:gridCol w:w="567"/>
        <w:gridCol w:w="652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>
            <w:r>
              <w:t xml:space="preserve">Konuşma Türü: 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kl</w:t>
            </w:r>
            <w:r>
              <w:rPr>
                <w:rFonts w:ascii="Calibri" w:hAnsi="Calibri" w:cs="Calibri"/>
              </w:rPr>
              <w:t>ı</w:t>
            </w:r>
            <w:r>
              <w:t xml:space="preserve">    </w:t>
            </w:r>
            <w:r>
              <w:rPr>
                <w:rFonts w:ascii="Segoe UI Symbol" w:hAnsi="Segoe UI Symbol" w:cs="Segoe UI Symbol"/>
              </w:rPr>
              <w:t>☐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ks</w:t>
            </w:r>
            <w:r>
              <w:rPr>
                <w:rFonts w:ascii="Calibri" w:hAnsi="Calibri" w:cs="Calibri"/>
              </w:rPr>
              <w:t>ı</w:t>
            </w:r>
            <w:r>
              <w:t xml:space="preserve">z  </w:t>
            </w:r>
            <w:r>
              <w:rPr>
                <w:rFonts w:ascii="Segoe UI Symbol" w:hAnsi="Segoe UI Symbol" w:cs="Segoe UI Symbol"/>
              </w:rPr>
              <w:t>☐</w:t>
            </w:r>
          </w:p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Konuşma öncesinde hazırlık yapar.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Dinleyicilerle göz teması kurar.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Açık, anlaşılır ve yalın bir dil kullanır.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Sözcükleri doğru telaffuz eder.</w:t>
            </w:r>
          </w:p>
        </w:tc>
        <w:tc>
          <w:tcPr>
            <w:tcW w:w="599" w:type="dxa"/>
            <w:textDirection w:val="btLr"/>
            <w:hideMark/>
          </w:tcPr>
          <w:p>
            <w:r>
              <w:t>Jest ve mimiklerini doğru kullanır.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İşitilebilir bir ses tonuyla konuşur.</w:t>
            </w:r>
          </w:p>
        </w:tc>
        <w:tc>
          <w:tcPr>
            <w:tcW w:w="709" w:type="dxa"/>
            <w:textDirection w:val="btLr"/>
            <w:hideMark/>
          </w:tcPr>
          <w:p>
            <w:r>
              <w:t>Konuşmasını bütünlük ve tutarlılık içinde sürdürür.</w:t>
            </w:r>
          </w:p>
        </w:tc>
        <w:tc>
          <w:tcPr>
            <w:tcW w:w="708" w:type="dxa"/>
            <w:textDirection w:val="btLr"/>
            <w:hideMark/>
          </w:tcPr>
          <w:p>
            <w:r>
              <w:t>Gereksiz seslerden ve tekrardan kaçınır.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Gereksiz sesler çıkarmaktan kaçınır.</w:t>
            </w:r>
          </w:p>
        </w:tc>
        <w:tc>
          <w:tcPr>
            <w:tcW w:w="652" w:type="dxa"/>
            <w:textDirection w:val="btLr"/>
            <w:hideMark/>
          </w:tcPr>
          <w:p>
            <w:r>
              <w:t>Konuşmasını belirtilen sürede tamamlar.</w:t>
            </w:r>
          </w:p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599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709" w:type="dxa"/>
            <w:hideMark/>
          </w:tcPr>
          <w:p>
            <w:r>
              <w:t>10</w:t>
            </w:r>
          </w:p>
        </w:tc>
        <w:tc>
          <w:tcPr>
            <w:tcW w:w="708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652" w:type="dxa"/>
            <w:hideMark/>
          </w:tcPr>
          <w:p>
            <w:r>
              <w:t>10</w:t>
            </w:r>
          </w:p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 AKYOK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ERDOĞAN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 AKKALE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ERDEM MAVRUK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ERDEVE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MUSTAFA ALP ACER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ADEM EFE ADIYAMAN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GÜLNÜHAL ÖZTÜRK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KEREM CERİT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BERTUĞ GAZİ POLAT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ADA KORKMAZ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SU A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>KGÜL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MALİK TAHA YILDIRIM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BİLGE NURCAN DEMİRCİ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MEHMET AKİF DÖNMEZ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KA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YRA FIRAT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ALİCAN AKSOY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DERİN DEMİRCİ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DORUK 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>NEBİ KARAKILIÇ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AYBERK DURMAZ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CANKARA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EMİR ALİ ÇANTALI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AYYÜCE NİSA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KUŞ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UMUT KART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ECE KOÇAK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TUANA YAVUZ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BERAT GÜNER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ALİ EFE BÜYÜKDAĞDAŞ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YAĞMUR YILHAN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9/C</w:t>
    </w:r>
    <w:r>
      <w:t xml:space="preserve">  SINIFI   1. DÖNEM 1.  KONUŞMA BECERİLERİ DEĞERLENDİRME ÖLÇEĞİ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2026-01-03T12:02:01Z</dcterms:created>
  <cp:lastModifiedBy>Yusuf Kenan</cp:lastModifiedBy>
  <dcterms:modified xsi:type="dcterms:W3CDTF">2026-01-03T12:02:01Z</dcterms:modified>
  <cp:revision>2</cp:revision>
</cp:coreProperties>
</file>